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321" w:rsidRPr="00324C5D" w:rsidRDefault="00A14321" w:rsidP="00A14321">
      <w:pPr>
        <w:widowControl w:val="0"/>
        <w:spacing w:line="336" w:lineRule="auto"/>
        <w:jc w:val="center"/>
        <w:rPr>
          <w:rFonts w:ascii="宋体" w:eastAsia="宋体" w:hAnsi="宋体" w:cs="宋体"/>
          <w:b/>
          <w:snapToGrid/>
          <w:color w:val="000000" w:themeColor="text1"/>
          <w:sz w:val="36"/>
          <w:szCs w:val="36"/>
        </w:rPr>
      </w:pPr>
      <w:r w:rsidRPr="00324C5D">
        <w:rPr>
          <w:rFonts w:ascii="宋体" w:eastAsia="宋体" w:hAnsi="宋体" w:cs="宋体" w:hint="eastAsia"/>
          <w:b/>
          <w:snapToGrid/>
          <w:color w:val="000000" w:themeColor="text1"/>
          <w:sz w:val="36"/>
          <w:szCs w:val="36"/>
        </w:rPr>
        <w:t>关于开展</w:t>
      </w:r>
      <w:r w:rsidRPr="00324C5D">
        <w:rPr>
          <w:rFonts w:ascii="宋体" w:eastAsia="宋体" w:hAnsi="宋体" w:cs="宋体"/>
          <w:b/>
          <w:snapToGrid/>
          <w:color w:val="000000" w:themeColor="text1"/>
          <w:sz w:val="36"/>
          <w:szCs w:val="36"/>
        </w:rPr>
        <w:t>202</w:t>
      </w:r>
      <w:r>
        <w:rPr>
          <w:rFonts w:ascii="宋体" w:eastAsia="宋体" w:hAnsi="宋体" w:cs="宋体"/>
          <w:b/>
          <w:snapToGrid/>
          <w:color w:val="000000" w:themeColor="text1"/>
          <w:sz w:val="36"/>
          <w:szCs w:val="36"/>
        </w:rPr>
        <w:t>3</w:t>
      </w:r>
      <w:r w:rsidRPr="00324C5D">
        <w:rPr>
          <w:rFonts w:ascii="宋体" w:eastAsia="宋体" w:hAnsi="宋体" w:cs="宋体"/>
          <w:b/>
          <w:snapToGrid/>
          <w:color w:val="000000" w:themeColor="text1"/>
          <w:sz w:val="36"/>
          <w:szCs w:val="36"/>
        </w:rPr>
        <w:t>年超级大</w:t>
      </w:r>
      <w:proofErr w:type="gramStart"/>
      <w:r w:rsidRPr="00324C5D">
        <w:rPr>
          <w:rFonts w:ascii="宋体" w:eastAsia="宋体" w:hAnsi="宋体" w:cs="宋体"/>
          <w:b/>
          <w:snapToGrid/>
          <w:color w:val="000000" w:themeColor="text1"/>
          <w:sz w:val="36"/>
          <w:szCs w:val="36"/>
        </w:rPr>
        <w:t>乐透派奖</w:t>
      </w:r>
      <w:proofErr w:type="gramEnd"/>
      <w:r w:rsidRPr="00324C5D">
        <w:rPr>
          <w:rFonts w:ascii="宋体" w:eastAsia="宋体" w:hAnsi="宋体" w:cs="宋体"/>
          <w:b/>
          <w:snapToGrid/>
          <w:color w:val="000000" w:themeColor="text1"/>
          <w:sz w:val="36"/>
          <w:szCs w:val="36"/>
        </w:rPr>
        <w:t>活动的公告</w:t>
      </w:r>
    </w:p>
    <w:p w:rsidR="00A14321" w:rsidRPr="00324C5D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宋体"/>
          <w:snapToGrid/>
          <w:color w:val="000000" w:themeColor="text1"/>
          <w:sz w:val="30"/>
          <w:szCs w:val="30"/>
        </w:rPr>
      </w:pPr>
    </w:p>
    <w:p w:rsidR="00A14321" w:rsidRPr="00CB0488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宋体"/>
          <w:color w:val="000000" w:themeColor="text1"/>
          <w:sz w:val="30"/>
          <w:szCs w:val="30"/>
        </w:rPr>
      </w:pPr>
      <w:r w:rsidRPr="00324C5D">
        <w:rPr>
          <w:rFonts w:ascii="仿宋" w:eastAsia="仿宋" w:hAnsi="仿宋" w:cs="宋体" w:hint="eastAsia"/>
          <w:snapToGrid/>
          <w:color w:val="000000" w:themeColor="text1"/>
          <w:sz w:val="30"/>
          <w:szCs w:val="30"/>
        </w:rPr>
        <w:t>为回馈广大购彩者，国家体育总局体育彩票管理中心决定开展202</w:t>
      </w:r>
      <w:r>
        <w:rPr>
          <w:rFonts w:ascii="仿宋" w:eastAsia="仿宋" w:hAnsi="仿宋" w:cs="宋体"/>
          <w:snapToGrid/>
          <w:color w:val="000000" w:themeColor="text1"/>
          <w:sz w:val="30"/>
          <w:szCs w:val="30"/>
        </w:rPr>
        <w:t>3</w:t>
      </w:r>
      <w:r w:rsidRPr="00324C5D">
        <w:rPr>
          <w:rFonts w:ascii="仿宋" w:eastAsia="仿宋" w:hAnsi="仿宋" w:cs="宋体" w:hint="eastAsia"/>
          <w:snapToGrid/>
          <w:color w:val="000000" w:themeColor="text1"/>
          <w:sz w:val="30"/>
          <w:szCs w:val="30"/>
        </w:rPr>
        <w:t>年超级大</w:t>
      </w:r>
      <w:proofErr w:type="gramStart"/>
      <w:r w:rsidRPr="00324C5D">
        <w:rPr>
          <w:rFonts w:ascii="仿宋" w:eastAsia="仿宋" w:hAnsi="仿宋" w:cs="宋体" w:hint="eastAsia"/>
          <w:snapToGrid/>
          <w:color w:val="000000" w:themeColor="text1"/>
          <w:sz w:val="30"/>
          <w:szCs w:val="30"/>
        </w:rPr>
        <w:t>乐透派奖</w:t>
      </w:r>
      <w:proofErr w:type="gramEnd"/>
      <w:r w:rsidRPr="00324C5D">
        <w:rPr>
          <w:rFonts w:ascii="仿宋" w:eastAsia="仿宋" w:hAnsi="仿宋" w:cs="宋体" w:hint="eastAsia"/>
          <w:snapToGrid/>
          <w:color w:val="000000" w:themeColor="text1"/>
          <w:sz w:val="30"/>
          <w:szCs w:val="30"/>
        </w:rPr>
        <w:t>活动。现就有关事项公告如下：</w:t>
      </w:r>
    </w:p>
    <w:p w:rsidR="00A14321" w:rsidRPr="00CB0488" w:rsidRDefault="00A14321" w:rsidP="00A14321">
      <w:pPr>
        <w:pStyle w:val="a3"/>
        <w:spacing w:line="336" w:lineRule="auto"/>
        <w:ind w:firstLine="600"/>
        <w:rPr>
          <w:rFonts w:ascii="Calibri" w:eastAsia="黑体" w:hAnsi="Calibri" w:cs="Calibri"/>
          <w:color w:val="000000" w:themeColor="text1"/>
          <w:kern w:val="0"/>
          <w:sz w:val="30"/>
          <w:szCs w:val="30"/>
        </w:rPr>
      </w:pPr>
      <w:r w:rsidRPr="00CB0488">
        <w:rPr>
          <w:rFonts w:ascii="Calibri" w:eastAsia="黑体" w:hAnsi="Calibri" w:cs="Calibri" w:hint="eastAsia"/>
          <w:color w:val="000000" w:themeColor="text1"/>
          <w:kern w:val="0"/>
          <w:sz w:val="30"/>
          <w:szCs w:val="30"/>
        </w:rPr>
        <w:t>一、派奖时间</w:t>
      </w:r>
    </w:p>
    <w:p w:rsidR="00A14321" w:rsidRPr="00F5782B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自超级大乐透第2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3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0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39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期(202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3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年4月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8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日2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1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: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10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开售，4月1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0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日开奖)开始，预计持续20期。</w:t>
      </w:r>
    </w:p>
    <w:p w:rsidR="00A14321" w:rsidRPr="00CB0488" w:rsidRDefault="00A14321" w:rsidP="00A14321">
      <w:pPr>
        <w:pStyle w:val="a3"/>
        <w:spacing w:line="336" w:lineRule="auto"/>
        <w:ind w:firstLine="600"/>
        <w:rPr>
          <w:rFonts w:ascii="Calibri" w:eastAsia="黑体" w:hAnsi="Calibri" w:cs="Calibri"/>
          <w:color w:val="000000" w:themeColor="text1"/>
          <w:kern w:val="0"/>
          <w:sz w:val="30"/>
          <w:szCs w:val="30"/>
        </w:rPr>
      </w:pPr>
      <w:r w:rsidRPr="00CB0488">
        <w:rPr>
          <w:rFonts w:ascii="Calibri" w:eastAsia="黑体" w:hAnsi="Calibri" w:cs="Calibri" w:hint="eastAsia"/>
          <w:color w:val="000000" w:themeColor="text1"/>
          <w:kern w:val="0"/>
          <w:sz w:val="30"/>
          <w:szCs w:val="30"/>
        </w:rPr>
        <w:t>二、参与条件</w:t>
      </w:r>
    </w:p>
    <w:p w:rsidR="00A14321" w:rsidRPr="00F5782B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派奖期间，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进行</w:t>
      </w:r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追加</w:t>
      </w:r>
      <w:proofErr w:type="gramStart"/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投注且</w:t>
      </w:r>
      <w:proofErr w:type="gramEnd"/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单张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单期投注</w:t>
      </w:r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金额15元及以上的超级大乐透彩票参与本次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派奖</w:t>
      </w:r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活动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，符合参与条件的</w:t>
      </w:r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多期票、套票、预售票在派</w:t>
      </w:r>
      <w:proofErr w:type="gramStart"/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奖期</w:t>
      </w:r>
      <w:proofErr w:type="gramEnd"/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间按期参与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，派奖活动前购买的</w:t>
      </w:r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多期票、套票、预售票在派</w:t>
      </w:r>
      <w:proofErr w:type="gramStart"/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奖期</w:t>
      </w:r>
      <w:proofErr w:type="gramEnd"/>
      <w:r w:rsidRPr="00564F2A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间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仅参与一、二等奖派奖，不参与</w:t>
      </w:r>
      <w:proofErr w:type="gramStart"/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固定奖</w:t>
      </w:r>
      <w:proofErr w:type="gramEnd"/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派奖。</w:t>
      </w:r>
    </w:p>
    <w:p w:rsidR="00A14321" w:rsidRPr="00CB0488" w:rsidRDefault="00A14321" w:rsidP="00A14321">
      <w:pPr>
        <w:pStyle w:val="a3"/>
        <w:spacing w:line="336" w:lineRule="auto"/>
        <w:ind w:firstLine="600"/>
        <w:rPr>
          <w:rFonts w:ascii="Calibri" w:eastAsia="黑体" w:hAnsi="Calibri" w:cs="Calibri"/>
          <w:color w:val="000000" w:themeColor="text1"/>
          <w:kern w:val="0"/>
          <w:sz w:val="30"/>
          <w:szCs w:val="30"/>
        </w:rPr>
      </w:pPr>
      <w:r>
        <w:rPr>
          <w:rFonts w:ascii="Calibri" w:eastAsia="黑体" w:hAnsi="Calibri" w:cs="Calibri" w:hint="eastAsia"/>
          <w:color w:val="000000" w:themeColor="text1"/>
          <w:kern w:val="0"/>
          <w:sz w:val="30"/>
          <w:szCs w:val="30"/>
        </w:rPr>
        <w:t>三</w:t>
      </w:r>
      <w:r w:rsidRPr="00CB0488">
        <w:rPr>
          <w:rFonts w:ascii="Calibri" w:eastAsia="黑体" w:hAnsi="Calibri" w:cs="Calibri" w:hint="eastAsia"/>
          <w:color w:val="000000" w:themeColor="text1"/>
          <w:kern w:val="0"/>
          <w:sz w:val="30"/>
          <w:szCs w:val="30"/>
        </w:rPr>
        <w:t>、</w:t>
      </w:r>
      <w:r>
        <w:rPr>
          <w:rFonts w:ascii="Calibri" w:eastAsia="黑体" w:hAnsi="Calibri" w:cs="Calibri" w:hint="eastAsia"/>
          <w:color w:val="000000" w:themeColor="text1"/>
          <w:kern w:val="0"/>
          <w:sz w:val="30"/>
          <w:szCs w:val="30"/>
        </w:rPr>
        <w:t>派奖规则</w:t>
      </w:r>
    </w:p>
    <w:p w:rsidR="00A14321" w:rsidRPr="00610BB2" w:rsidRDefault="00A14321" w:rsidP="00A14321">
      <w:pPr>
        <w:spacing w:line="336" w:lineRule="auto"/>
        <w:ind w:firstLineChars="200" w:firstLine="600"/>
        <w:rPr>
          <w:rFonts w:ascii="楷体" w:eastAsia="楷体" w:hAnsi="楷体" w:cs="Calibri"/>
          <w:color w:val="000000" w:themeColor="text1"/>
          <w:sz w:val="30"/>
          <w:szCs w:val="30"/>
        </w:rPr>
      </w:pPr>
      <w:r w:rsidRPr="00610BB2">
        <w:rPr>
          <w:rFonts w:ascii="楷体" w:eastAsia="楷体" w:hAnsi="楷体" w:cs="Calibri" w:hint="eastAsia"/>
          <w:color w:val="000000" w:themeColor="text1"/>
          <w:sz w:val="30"/>
          <w:szCs w:val="30"/>
        </w:rPr>
        <w:t>（一）一等奖派奖</w:t>
      </w:r>
    </w:p>
    <w:p w:rsidR="00A14321" w:rsidRPr="00CB0488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FangSong" w:eastAsia="FangSong" w:hAnsi="FangSong" w:cs="Calibri"/>
          <w:color w:val="000000" w:themeColor="text1"/>
          <w:sz w:val="30"/>
          <w:szCs w:val="30"/>
        </w:rPr>
      </w:pP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总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奖金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3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亿元，每期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15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00万元。每期派奖奖金由符合参与条件且中得一等奖的彩票按中奖注数均分，其中基本投注和追加投注按游戏规则规定的比例分配，</w:t>
      </w:r>
      <w:proofErr w:type="gramStart"/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单注派奖</w:t>
      </w:r>
      <w:proofErr w:type="gramEnd"/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奖金不超过当期基本投注和追加投注的奖金。若当期一等奖派奖奖金有结余，则与下一期派奖奖金合并派发，依此类推，派完为止。</w:t>
      </w:r>
    </w:p>
    <w:p w:rsidR="00A14321" w:rsidRPr="00610BB2" w:rsidRDefault="00A14321" w:rsidP="00A14321">
      <w:pPr>
        <w:spacing w:line="336" w:lineRule="auto"/>
        <w:ind w:firstLineChars="200" w:firstLine="600"/>
        <w:rPr>
          <w:rFonts w:ascii="楷体" w:eastAsia="楷体" w:hAnsi="楷体" w:cs="Calibri"/>
          <w:color w:val="000000" w:themeColor="text1"/>
          <w:sz w:val="30"/>
          <w:szCs w:val="30"/>
        </w:rPr>
      </w:pPr>
      <w:r w:rsidRPr="00610BB2">
        <w:rPr>
          <w:rFonts w:ascii="楷体" w:eastAsia="楷体" w:hAnsi="楷体" w:cs="Calibri" w:hint="eastAsia"/>
          <w:color w:val="000000" w:themeColor="text1"/>
          <w:sz w:val="30"/>
          <w:szCs w:val="30"/>
        </w:rPr>
        <w:t>（二）二等奖派奖</w:t>
      </w:r>
    </w:p>
    <w:p w:rsidR="00A14321" w:rsidRPr="00F5782B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总奖金1亿元，每期5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0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0万元。每期派奖奖金由符合参与条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lastRenderedPageBreak/>
        <w:t>件且中得二等奖的彩票按中奖注数均分，其中基本投注和追加投注按游戏规则规定的比例分配，</w:t>
      </w:r>
      <w:proofErr w:type="gramStart"/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单注派奖</w:t>
      </w:r>
      <w:proofErr w:type="gramEnd"/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奖金不超过当期基本投注和追加投注的奖金。若当期二等奖派奖奖金有结余，则与下一期派奖奖金合并派发，依此类推，派完为止。</w:t>
      </w:r>
    </w:p>
    <w:p w:rsidR="00A14321" w:rsidRPr="00610BB2" w:rsidRDefault="00A14321" w:rsidP="00A14321">
      <w:pPr>
        <w:spacing w:line="336" w:lineRule="auto"/>
        <w:ind w:firstLineChars="200" w:firstLine="600"/>
        <w:rPr>
          <w:rFonts w:ascii="楷体" w:eastAsia="楷体" w:hAnsi="楷体" w:cs="Calibri"/>
          <w:color w:val="000000" w:themeColor="text1"/>
          <w:sz w:val="30"/>
          <w:szCs w:val="30"/>
        </w:rPr>
      </w:pPr>
      <w:r w:rsidRPr="00610BB2">
        <w:rPr>
          <w:rFonts w:ascii="楷体" w:eastAsia="楷体" w:hAnsi="楷体" w:cs="Calibri" w:hint="eastAsia"/>
          <w:color w:val="000000" w:themeColor="text1"/>
          <w:sz w:val="30"/>
          <w:szCs w:val="30"/>
        </w:rPr>
        <w:t>（三）</w:t>
      </w:r>
      <w:proofErr w:type="gramStart"/>
      <w:r w:rsidRPr="00610BB2">
        <w:rPr>
          <w:rFonts w:ascii="楷体" w:eastAsia="楷体" w:hAnsi="楷体" w:cs="Calibri" w:hint="eastAsia"/>
          <w:color w:val="000000" w:themeColor="text1"/>
          <w:sz w:val="30"/>
          <w:szCs w:val="30"/>
        </w:rPr>
        <w:t>固定奖派</w:t>
      </w:r>
      <w:proofErr w:type="gramEnd"/>
      <w:r w:rsidRPr="00610BB2">
        <w:rPr>
          <w:rFonts w:ascii="楷体" w:eastAsia="楷体" w:hAnsi="楷体" w:cs="Calibri" w:hint="eastAsia"/>
          <w:color w:val="000000" w:themeColor="text1"/>
          <w:sz w:val="30"/>
          <w:szCs w:val="30"/>
        </w:rPr>
        <w:t>奖</w:t>
      </w:r>
    </w:p>
    <w:p w:rsidR="00A14321" w:rsidRPr="00F5782B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总奖金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6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亿元。派奖期间，符合参与条件且中得</w:t>
      </w:r>
      <w:r w:rsidRPr="00C62A63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三至九等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奖中任意奖级的彩票，</w:t>
      </w:r>
      <w:proofErr w:type="gramStart"/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单注派奖</w:t>
      </w:r>
      <w:proofErr w:type="gramEnd"/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奖金为当期对应奖级单注奖金的50%或1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00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%，以票面宣传栏打印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的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文字为准：</w:t>
      </w:r>
    </w:p>
    <w:p w:rsidR="00A14321" w:rsidRPr="00F5782B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“恭喜！三至九等奖奖金×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1.5倍！”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字样，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表示该彩票若中得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三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至九等奖中任意奖级</w:t>
      </w:r>
      <w:r w:rsidR="00B32AC2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，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实得奖金为该奖级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原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奖金的1.5倍。</w:t>
      </w:r>
    </w:p>
    <w:p w:rsidR="00A14321" w:rsidRPr="00F5782B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“恭喜！三至九等奖奖金×2倍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！”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字样，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表示该彩票若中得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三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至九等奖中任意奖级</w:t>
      </w:r>
      <w:r w:rsidR="00B32AC2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，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实得奖金为该奖级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原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奖金</w:t>
      </w:r>
      <w:bookmarkStart w:id="0" w:name="_GoBack"/>
      <w:bookmarkEnd w:id="0"/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的2倍。</w:t>
      </w:r>
    </w:p>
    <w:p w:rsidR="00A14321" w:rsidRPr="00F5782B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6亿元派完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为止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，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结束</w:t>
      </w:r>
      <w:r w:rsidRPr="00F5782B">
        <w:rPr>
          <w:rFonts w:ascii="仿宋" w:eastAsia="仿宋" w:hAnsi="仿宋" w:cs="Adobe 黑体 Std R"/>
          <w:snapToGrid/>
          <w:kern w:val="2"/>
          <w:sz w:val="30"/>
          <w:szCs w:val="30"/>
        </w:rPr>
        <w:t>当期派奖奖金不足部分由超级大乐透调节基金补足。</w:t>
      </w:r>
    </w:p>
    <w:p w:rsidR="00A14321" w:rsidRPr="00547857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黑体" w:eastAsia="黑体" w:hAnsi="黑体" w:cs="Adobe 黑体 Std R"/>
          <w:snapToGrid/>
          <w:kern w:val="2"/>
          <w:sz w:val="30"/>
          <w:szCs w:val="30"/>
        </w:rPr>
      </w:pPr>
      <w:r w:rsidRPr="00547857">
        <w:rPr>
          <w:rFonts w:ascii="黑体" w:eastAsia="黑体" w:hAnsi="黑体" w:cs="Adobe 黑体 Std R" w:hint="eastAsia"/>
          <w:snapToGrid/>
          <w:kern w:val="2"/>
          <w:sz w:val="30"/>
          <w:szCs w:val="30"/>
        </w:rPr>
        <w:t>四、派奖资金</w:t>
      </w:r>
    </w:p>
    <w:p w:rsidR="00A14321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本次派奖奖金1</w:t>
      </w:r>
      <w:r>
        <w:rPr>
          <w:rFonts w:ascii="仿宋" w:eastAsia="仿宋" w:hAnsi="仿宋" w:cs="Adobe 黑体 Std R"/>
          <w:snapToGrid/>
          <w:kern w:val="2"/>
          <w:sz w:val="30"/>
          <w:szCs w:val="30"/>
        </w:rPr>
        <w:t>0</w:t>
      </w:r>
      <w:r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亿元，</w:t>
      </w:r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从超级大乐透调节基金列支。</w:t>
      </w:r>
      <w:proofErr w:type="gramStart"/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若派奖</w:t>
      </w:r>
      <w:proofErr w:type="gramEnd"/>
      <w:r w:rsidRPr="00F5782B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活动尚未到期，但调节基金余额不足以支付当期派奖奖金时，则当期不再派奖，派奖活动结束。</w:t>
      </w:r>
    </w:p>
    <w:p w:rsidR="00A14321" w:rsidRPr="00324C5D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324C5D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本次派奖规则由国家体育总局体育彩票管理中心负责解释。感谢广大购彩者对</w:t>
      </w:r>
      <w:proofErr w:type="gramStart"/>
      <w:r w:rsidRPr="00324C5D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国家公益</w:t>
      </w:r>
      <w:proofErr w:type="gramEnd"/>
      <w:r w:rsidRPr="00324C5D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事业和中国体育彩票的支持！</w:t>
      </w:r>
    </w:p>
    <w:p w:rsidR="00A14321" w:rsidRPr="00324C5D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324C5D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特此公告。</w:t>
      </w:r>
    </w:p>
    <w:p w:rsidR="00A14321" w:rsidRPr="00CB0488" w:rsidRDefault="00A14321" w:rsidP="00A14321">
      <w:pPr>
        <w:spacing w:line="336" w:lineRule="auto"/>
        <w:ind w:firstLineChars="200" w:firstLine="600"/>
        <w:rPr>
          <w:rFonts w:ascii="Calibri" w:eastAsia="仿宋" w:hAnsi="Calibri" w:cs="Calibri"/>
          <w:color w:val="000000" w:themeColor="text1"/>
          <w:sz w:val="30"/>
          <w:szCs w:val="30"/>
        </w:rPr>
      </w:pPr>
    </w:p>
    <w:p w:rsidR="00A14321" w:rsidRPr="00CB0488" w:rsidRDefault="00A14321" w:rsidP="00A14321">
      <w:pPr>
        <w:spacing w:line="336" w:lineRule="auto"/>
        <w:ind w:leftChars="885" w:left="2832" w:firstLineChars="200" w:firstLine="600"/>
        <w:jc w:val="center"/>
        <w:rPr>
          <w:rFonts w:ascii="Calibri" w:eastAsia="仿宋" w:hAnsi="Calibri" w:cs="Calibri"/>
          <w:color w:val="000000" w:themeColor="text1"/>
          <w:sz w:val="30"/>
          <w:szCs w:val="30"/>
        </w:rPr>
      </w:pPr>
      <w:r w:rsidRPr="00CB0488">
        <w:rPr>
          <w:rFonts w:ascii="Calibri" w:eastAsia="仿宋" w:hAnsi="Calibri" w:cs="Calibri" w:hint="eastAsia"/>
          <w:color w:val="000000" w:themeColor="text1"/>
          <w:sz w:val="30"/>
          <w:szCs w:val="30"/>
        </w:rPr>
        <w:lastRenderedPageBreak/>
        <w:t>国家体育总局体育彩票管理中心</w:t>
      </w:r>
    </w:p>
    <w:p w:rsidR="00A14321" w:rsidRPr="00324C5D" w:rsidRDefault="00A14321" w:rsidP="00A14321">
      <w:pPr>
        <w:widowControl w:val="0"/>
        <w:spacing w:line="336" w:lineRule="auto"/>
        <w:ind w:leftChars="885" w:left="2832" w:firstLineChars="200" w:firstLine="600"/>
        <w:jc w:val="center"/>
        <w:rPr>
          <w:rFonts w:ascii="仿宋" w:eastAsia="仿宋" w:hAnsi="仿宋" w:cs="Adobe 黑体 Std R"/>
          <w:snapToGrid/>
          <w:kern w:val="2"/>
          <w:sz w:val="30"/>
          <w:szCs w:val="30"/>
        </w:rPr>
      </w:pPr>
      <w:r w:rsidRPr="00324C5D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202</w:t>
      </w:r>
      <w:r>
        <w:rPr>
          <w:rFonts w:ascii="仿宋" w:eastAsia="仿宋" w:hAnsi="仿宋" w:cs="Adobe 黑体 Std R"/>
          <w:snapToGrid/>
          <w:kern w:val="2"/>
          <w:sz w:val="30"/>
          <w:szCs w:val="30"/>
        </w:rPr>
        <w:t>3</w:t>
      </w:r>
      <w:r w:rsidRPr="00324C5D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年4月</w:t>
      </w:r>
      <w:r>
        <w:rPr>
          <w:rFonts w:ascii="仿宋" w:eastAsia="仿宋" w:hAnsi="仿宋" w:cs="Adobe 黑体 Std R"/>
          <w:snapToGrid/>
          <w:kern w:val="2"/>
          <w:sz w:val="30"/>
          <w:szCs w:val="30"/>
        </w:rPr>
        <w:t>3</w:t>
      </w:r>
      <w:r w:rsidRPr="00324C5D">
        <w:rPr>
          <w:rFonts w:ascii="仿宋" w:eastAsia="仿宋" w:hAnsi="仿宋" w:cs="Adobe 黑体 Std R" w:hint="eastAsia"/>
          <w:snapToGrid/>
          <w:kern w:val="2"/>
          <w:sz w:val="30"/>
          <w:szCs w:val="30"/>
        </w:rPr>
        <w:t>日</w:t>
      </w:r>
    </w:p>
    <w:p w:rsidR="00A14321" w:rsidRPr="00F5782B" w:rsidRDefault="00A14321" w:rsidP="00A14321">
      <w:pPr>
        <w:widowControl w:val="0"/>
        <w:spacing w:line="336" w:lineRule="auto"/>
        <w:ind w:firstLineChars="200" w:firstLine="600"/>
        <w:jc w:val="both"/>
        <w:rPr>
          <w:rFonts w:ascii="仿宋" w:eastAsia="仿宋" w:hAnsi="仿宋" w:cs="Adobe 黑体 Std R"/>
          <w:snapToGrid/>
          <w:kern w:val="2"/>
          <w:sz w:val="30"/>
          <w:szCs w:val="30"/>
        </w:rPr>
      </w:pPr>
    </w:p>
    <w:p w:rsidR="00A14321" w:rsidRDefault="00A14321" w:rsidP="00A14321">
      <w:pPr>
        <w:spacing w:line="336" w:lineRule="auto"/>
      </w:pPr>
    </w:p>
    <w:p w:rsidR="002C3FBA" w:rsidRPr="00865529" w:rsidRDefault="002C3FBA" w:rsidP="00AB6E55">
      <w:pPr>
        <w:spacing w:line="336" w:lineRule="auto"/>
      </w:pPr>
    </w:p>
    <w:sectPr w:rsidR="002C3FBA" w:rsidRPr="00865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4B4" w:rsidRDefault="004514B4" w:rsidP="00274567">
      <w:r>
        <w:separator/>
      </w:r>
    </w:p>
  </w:endnote>
  <w:endnote w:type="continuationSeparator" w:id="0">
    <w:p w:rsidR="004514B4" w:rsidRDefault="004514B4" w:rsidP="0027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黑体"/>
    <w:charset w:val="86"/>
    <w:family w:val="swiss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4B4" w:rsidRDefault="004514B4" w:rsidP="00274567">
      <w:r>
        <w:separator/>
      </w:r>
    </w:p>
  </w:footnote>
  <w:footnote w:type="continuationSeparator" w:id="0">
    <w:p w:rsidR="004514B4" w:rsidRDefault="004514B4" w:rsidP="00274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29"/>
    <w:rsid w:val="000442A7"/>
    <w:rsid w:val="002207FE"/>
    <w:rsid w:val="00274567"/>
    <w:rsid w:val="002C3FBA"/>
    <w:rsid w:val="00324C5D"/>
    <w:rsid w:val="003D7FFA"/>
    <w:rsid w:val="004514B4"/>
    <w:rsid w:val="00480BF8"/>
    <w:rsid w:val="00547857"/>
    <w:rsid w:val="00564F2A"/>
    <w:rsid w:val="006D118D"/>
    <w:rsid w:val="0084462A"/>
    <w:rsid w:val="00865529"/>
    <w:rsid w:val="008F3045"/>
    <w:rsid w:val="00A06506"/>
    <w:rsid w:val="00A14321"/>
    <w:rsid w:val="00AB6E55"/>
    <w:rsid w:val="00B32AC2"/>
    <w:rsid w:val="00C62A63"/>
    <w:rsid w:val="00CB2D96"/>
    <w:rsid w:val="00D51FE9"/>
    <w:rsid w:val="00D57F62"/>
    <w:rsid w:val="00E32DFC"/>
    <w:rsid w:val="00E93420"/>
    <w:rsid w:val="00E9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862B6"/>
  <w15:chartTrackingRefBased/>
  <w15:docId w15:val="{E65854DB-E4C8-47AA-BF4F-797FD5D3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529"/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29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27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4567"/>
    <w:rPr>
      <w:rFonts w:ascii="Times New Roman" w:eastAsia="仿宋_GB2312" w:hAnsi="Times New Roman" w:cs="Times New Roman"/>
      <w:snapToGrid w:val="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45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4567"/>
    <w:rPr>
      <w:rFonts w:ascii="Times New Roman" w:eastAsia="仿宋_GB2312" w:hAnsi="Times New Roman" w:cs="Times New Roman"/>
      <w:snapToGrid w:val="0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1432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4321"/>
    <w:rPr>
      <w:rFonts w:ascii="Times New Roman" w:eastAsia="仿宋_GB2312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140</Words>
  <Characters>802</Characters>
  <Application>Microsoft Office Word</Application>
  <DocSecurity>0</DocSecurity>
  <Lines>6</Lines>
  <Paragraphs>1</Paragraphs>
  <ScaleCrop>false</ScaleCrop>
  <Company>CSLO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吕源展</dc:creator>
  <cp:keywords/>
  <dc:description/>
  <cp:lastModifiedBy>田彦芳</cp:lastModifiedBy>
  <cp:revision>15</cp:revision>
  <dcterms:created xsi:type="dcterms:W3CDTF">2023-02-01T06:41:00Z</dcterms:created>
  <dcterms:modified xsi:type="dcterms:W3CDTF">2023-03-31T01:29:00Z</dcterms:modified>
</cp:coreProperties>
</file>